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8" w:rsidRPr="00CA5E19" w:rsidRDefault="00B13308" w:rsidP="00B13308">
      <w:pPr>
        <w:pStyle w:val="Heading1"/>
        <w:keepNext w:val="0"/>
        <w:jc w:val="center"/>
        <w:rPr>
          <w:caps/>
          <w:sz w:val="16"/>
          <w:szCs w:val="16"/>
        </w:rPr>
      </w:pPr>
      <w:bookmarkStart w:id="0" w:name="_Toc5974270"/>
      <w:bookmarkStart w:id="1" w:name="_Toc146563549"/>
    </w:p>
    <w:p w:rsidR="00B13308" w:rsidRDefault="00B13308" w:rsidP="00B13308">
      <w:pPr>
        <w:jc w:val="center"/>
        <w:rPr>
          <w:b/>
          <w:caps/>
          <w:sz w:val="32"/>
          <w:szCs w:val="32"/>
        </w:rPr>
      </w:pPr>
      <w:r w:rsidRPr="00B13308">
        <w:rPr>
          <w:b/>
          <w:caps/>
          <w:sz w:val="32"/>
          <w:szCs w:val="32"/>
        </w:rPr>
        <w:t xml:space="preserve">IB DIPLOMA PROGRAMME “Request for services” </w:t>
      </w:r>
    </w:p>
    <w:p w:rsidR="00977C05" w:rsidRPr="00B13308" w:rsidRDefault="00977C05" w:rsidP="00B1330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TRANSCRIPT OF RESULTS</w:t>
      </w:r>
    </w:p>
    <w:bookmarkEnd w:id="0"/>
    <w:bookmarkEnd w:id="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747"/>
        <w:gridCol w:w="2747"/>
      </w:tblGrid>
      <w:tr w:rsidR="00977C05" w:rsidTr="00977C05">
        <w:trPr>
          <w:trHeight w:val="44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977C05" w:rsidRPr="00225E6F" w:rsidRDefault="00977C05" w:rsidP="00977C05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977C05" w:rsidRPr="00225E6F" w:rsidRDefault="00977C05" w:rsidP="00977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977C05" w:rsidRPr="00225E6F" w:rsidRDefault="00977C05" w:rsidP="00977C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05" w:rsidTr="00977C05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977C05" w:rsidRDefault="00977C05" w:rsidP="0097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977C05" w:rsidRDefault="00977C05" w:rsidP="0097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     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977C05" w:rsidRDefault="00977C05" w:rsidP="0097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Name</w:t>
            </w:r>
          </w:p>
        </w:tc>
      </w:tr>
    </w:tbl>
    <w:p w:rsidR="00B13308" w:rsidRPr="00B13308" w:rsidRDefault="00B13308" w:rsidP="00B13308">
      <w:pPr>
        <w:rPr>
          <w:sz w:val="22"/>
          <w:szCs w:val="22"/>
        </w:rPr>
      </w:pPr>
    </w:p>
    <w:p w:rsidR="00E5668C" w:rsidRDefault="00E5668C" w:rsidP="00977C05">
      <w:pPr>
        <w:spacing w:after="120"/>
        <w:rPr>
          <w:sz w:val="22"/>
          <w:szCs w:val="22"/>
        </w:rPr>
      </w:pPr>
      <w:r w:rsidRPr="00E5668C">
        <w:rPr>
          <w:b/>
          <w:sz w:val="22"/>
          <w:szCs w:val="22"/>
        </w:rPr>
        <w:t>REQUEST</w:t>
      </w:r>
      <w:r>
        <w:rPr>
          <w:b/>
          <w:sz w:val="22"/>
          <w:szCs w:val="22"/>
        </w:rPr>
        <w:t xml:space="preserve">: </w:t>
      </w:r>
      <w:r w:rsidRPr="00B13308">
        <w:rPr>
          <w:sz w:val="22"/>
          <w:szCs w:val="22"/>
        </w:rPr>
        <w:t xml:space="preserve">Students who require that an official transcript of their final IB exam scores be sent from the IBO directly to a university must </w:t>
      </w:r>
      <w:r>
        <w:rPr>
          <w:sz w:val="22"/>
          <w:szCs w:val="22"/>
        </w:rPr>
        <w:t>submit this form to the IB DP Coordinator</w:t>
      </w:r>
      <w:r w:rsidRPr="00B13308">
        <w:rPr>
          <w:sz w:val="22"/>
          <w:szCs w:val="22"/>
        </w:rPr>
        <w:t xml:space="preserve">.  It is the responsibility of the student to inquire with the </w:t>
      </w:r>
      <w:proofErr w:type="gramStart"/>
      <w:r w:rsidRPr="00B13308">
        <w:rPr>
          <w:sz w:val="22"/>
          <w:szCs w:val="22"/>
        </w:rPr>
        <w:t>university(</w:t>
      </w:r>
      <w:proofErr w:type="spellStart"/>
      <w:proofErr w:type="gramEnd"/>
      <w:r w:rsidRPr="00B13308">
        <w:rPr>
          <w:sz w:val="22"/>
          <w:szCs w:val="22"/>
        </w:rPr>
        <w:t>ies</w:t>
      </w:r>
      <w:proofErr w:type="spellEnd"/>
      <w:r w:rsidRPr="00B13308">
        <w:rPr>
          <w:sz w:val="22"/>
          <w:szCs w:val="22"/>
        </w:rPr>
        <w:t xml:space="preserve">) to which he/she is applying to see if they require an official IB transcript.  </w:t>
      </w:r>
    </w:p>
    <w:p w:rsidR="00E5668C" w:rsidRDefault="00E5668C" w:rsidP="00977C05">
      <w:pPr>
        <w:spacing w:after="120"/>
        <w:rPr>
          <w:color w:val="auto"/>
          <w:sz w:val="22"/>
          <w:szCs w:val="22"/>
        </w:rPr>
      </w:pPr>
      <w:r w:rsidRPr="00B13308">
        <w:rPr>
          <w:color w:val="auto"/>
          <w:sz w:val="22"/>
          <w:szCs w:val="22"/>
        </w:rPr>
        <w:t>No more than six institutions worldwide</w:t>
      </w:r>
      <w:r>
        <w:rPr>
          <w:color w:val="auto"/>
          <w:sz w:val="22"/>
          <w:szCs w:val="22"/>
        </w:rPr>
        <w:t xml:space="preserve"> (</w:t>
      </w:r>
      <w:r>
        <w:t>only one of which can be in the USA and one in Canada)</w:t>
      </w:r>
      <w:r w:rsidRPr="00B13308">
        <w:rPr>
          <w:color w:val="auto"/>
          <w:sz w:val="22"/>
          <w:szCs w:val="22"/>
        </w:rPr>
        <w:t xml:space="preserve"> can be selected on the request form, regardless of whether the results are sent in electronic or paper format. An admissions </w:t>
      </w:r>
      <w:proofErr w:type="spellStart"/>
      <w:r w:rsidRPr="00B13308">
        <w:rPr>
          <w:color w:val="auto"/>
          <w:sz w:val="22"/>
          <w:szCs w:val="22"/>
        </w:rPr>
        <w:t>centre</w:t>
      </w:r>
      <w:proofErr w:type="spellEnd"/>
      <w:r w:rsidRPr="00B13308">
        <w:rPr>
          <w:color w:val="auto"/>
          <w:sz w:val="22"/>
          <w:szCs w:val="22"/>
        </w:rPr>
        <w:t xml:space="preserve"> counts as one request.</w:t>
      </w:r>
      <w:r>
        <w:rPr>
          <w:color w:val="auto"/>
          <w:sz w:val="22"/>
          <w:szCs w:val="22"/>
        </w:rPr>
        <w:t xml:space="preserve">  </w:t>
      </w:r>
    </w:p>
    <w:p w:rsidR="00E5668C" w:rsidRPr="00E5668C" w:rsidRDefault="00E5668C" w:rsidP="00977C05">
      <w:pPr>
        <w:spacing w:after="120"/>
        <w:rPr>
          <w:color w:val="auto"/>
          <w:sz w:val="22"/>
          <w:szCs w:val="22"/>
        </w:rPr>
      </w:pPr>
      <w:r w:rsidRPr="00B13308">
        <w:rPr>
          <w:color w:val="auto"/>
          <w:sz w:val="22"/>
          <w:szCs w:val="22"/>
        </w:rPr>
        <w:t xml:space="preserve">If an admissions </w:t>
      </w:r>
      <w:proofErr w:type="spellStart"/>
      <w:r w:rsidRPr="00B13308">
        <w:rPr>
          <w:color w:val="auto"/>
          <w:sz w:val="22"/>
          <w:szCs w:val="22"/>
        </w:rPr>
        <w:t>centre</w:t>
      </w:r>
      <w:proofErr w:type="spellEnd"/>
      <w:r w:rsidRPr="00B13308">
        <w:rPr>
          <w:color w:val="auto"/>
          <w:sz w:val="22"/>
          <w:szCs w:val="22"/>
        </w:rPr>
        <w:t xml:space="preserve"> is processing a candidate’s university application, complete one request only for the admissions </w:t>
      </w:r>
      <w:proofErr w:type="spellStart"/>
      <w:r w:rsidRPr="00B13308">
        <w:rPr>
          <w:color w:val="auto"/>
          <w:sz w:val="22"/>
          <w:szCs w:val="22"/>
        </w:rPr>
        <w:t>centre</w:t>
      </w:r>
      <w:proofErr w:type="spellEnd"/>
      <w:r w:rsidRPr="00B13308">
        <w:rPr>
          <w:color w:val="auto"/>
          <w:sz w:val="22"/>
          <w:szCs w:val="22"/>
        </w:rPr>
        <w:t>; do not submit a request for each university. For example, if a candidate is applying to several universities in the United Kingdom, only one request to the Universities and Colleges Admissions Service (UCAS) is required. When submitting a request for UCAS, please ensure that you include the ten-digit application number. This is mandatory for requests for UCAS.</w:t>
      </w:r>
    </w:p>
    <w:p w:rsidR="00B13308" w:rsidRPr="00B13308" w:rsidRDefault="00E5668C" w:rsidP="00977C05">
      <w:pPr>
        <w:spacing w:after="120"/>
        <w:rPr>
          <w:sz w:val="22"/>
          <w:szCs w:val="22"/>
        </w:rPr>
      </w:pPr>
      <w:r w:rsidRPr="00E5668C">
        <w:rPr>
          <w:b/>
          <w:sz w:val="22"/>
          <w:szCs w:val="22"/>
        </w:rPr>
        <w:t>DEADLINE</w:t>
      </w:r>
      <w:r>
        <w:rPr>
          <w:b/>
          <w:sz w:val="22"/>
          <w:szCs w:val="22"/>
        </w:rPr>
        <w:t xml:space="preserve">: </w:t>
      </w:r>
      <w:r w:rsidRPr="006940C9">
        <w:rPr>
          <w:b/>
          <w:sz w:val="22"/>
          <w:szCs w:val="22"/>
        </w:rPr>
        <w:t xml:space="preserve">The deadline for submission of this form to the Diploma Programme Coordinator is April </w:t>
      </w:r>
      <w:r w:rsidR="00707DA9" w:rsidRPr="006940C9">
        <w:rPr>
          <w:b/>
          <w:sz w:val="22"/>
          <w:szCs w:val="22"/>
        </w:rPr>
        <w:t>15</w:t>
      </w:r>
      <w:r w:rsidR="00707DA9" w:rsidRPr="006940C9">
        <w:rPr>
          <w:b/>
          <w:sz w:val="22"/>
          <w:szCs w:val="22"/>
          <w:vertAlign w:val="superscript"/>
        </w:rPr>
        <w:t>th</w:t>
      </w:r>
      <w:r w:rsidR="00707DA9" w:rsidRPr="006940C9">
        <w:rPr>
          <w:b/>
          <w:sz w:val="22"/>
          <w:szCs w:val="22"/>
        </w:rPr>
        <w:t xml:space="preserve"> </w:t>
      </w:r>
      <w:r w:rsidRPr="006940C9">
        <w:rPr>
          <w:b/>
          <w:sz w:val="22"/>
          <w:szCs w:val="22"/>
        </w:rPr>
        <w:t>of the Diploma session year</w:t>
      </w:r>
      <w:r w:rsidRPr="00B13308">
        <w:rPr>
          <w:sz w:val="22"/>
          <w:szCs w:val="22"/>
        </w:rPr>
        <w:t xml:space="preserve"> (generally 12</w:t>
      </w:r>
      <w:r w:rsidRPr="00B133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</w:t>
      </w:r>
      <w:r w:rsidR="006940C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That </w:t>
      </w:r>
      <w:r w:rsidR="00B13308" w:rsidRPr="00B13308">
        <w:rPr>
          <w:sz w:val="22"/>
          <w:szCs w:val="22"/>
        </w:rPr>
        <w:t>ISG deadline is for transcripts being sent to universities in any country.</w:t>
      </w:r>
      <w:r>
        <w:rPr>
          <w:sz w:val="22"/>
          <w:szCs w:val="22"/>
        </w:rPr>
        <w:t xml:space="preserve">  </w:t>
      </w:r>
      <w:r w:rsidR="00B13308" w:rsidRPr="00B13308">
        <w:rPr>
          <w:sz w:val="22"/>
          <w:szCs w:val="22"/>
        </w:rPr>
        <w:t xml:space="preserve">Results will be issued directly to the institution in electronic or paper format (a transcript) in July (May Session) or January (November Session).  </w:t>
      </w:r>
    </w:p>
    <w:p w:rsidR="00E5668C" w:rsidRDefault="00E5668C" w:rsidP="00977C05">
      <w:pPr>
        <w:spacing w:after="120"/>
        <w:rPr>
          <w:color w:val="auto"/>
          <w:sz w:val="22"/>
          <w:szCs w:val="22"/>
        </w:rPr>
      </w:pPr>
      <w:r w:rsidRPr="00E5668C">
        <w:rPr>
          <w:b/>
          <w:color w:val="auto"/>
          <w:sz w:val="22"/>
          <w:szCs w:val="22"/>
        </w:rPr>
        <w:t>FEES</w:t>
      </w:r>
      <w:r>
        <w:rPr>
          <w:b/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This is a free service, but the IB does impose fees for additional and/or late requests.</w:t>
      </w:r>
    </w:p>
    <w:p w:rsidR="00E5668C" w:rsidRPr="00E5668C" w:rsidRDefault="00E5668C" w:rsidP="00977C05">
      <w:pPr>
        <w:spacing w:after="120"/>
        <w:rPr>
          <w:sz w:val="22"/>
          <w:szCs w:val="22"/>
        </w:rPr>
      </w:pPr>
      <w:r w:rsidRPr="00E5668C">
        <w:rPr>
          <w:b/>
          <w:color w:val="auto"/>
          <w:sz w:val="22"/>
          <w:szCs w:val="22"/>
        </w:rPr>
        <w:t>ADDITIONAL OR LATE REQUESTS</w:t>
      </w:r>
      <w:r>
        <w:rPr>
          <w:b/>
          <w:color w:val="auto"/>
          <w:sz w:val="22"/>
          <w:szCs w:val="22"/>
        </w:rPr>
        <w:t xml:space="preserve">: </w:t>
      </w:r>
      <w:r w:rsidRPr="00B13308">
        <w:rPr>
          <w:sz w:val="22"/>
          <w:szCs w:val="22"/>
        </w:rPr>
        <w:t xml:space="preserve">After </w:t>
      </w:r>
      <w:r>
        <w:rPr>
          <w:sz w:val="22"/>
          <w:szCs w:val="22"/>
        </w:rPr>
        <w:t>the issue of results</w:t>
      </w:r>
      <w:r w:rsidRPr="00B13308">
        <w:rPr>
          <w:sz w:val="22"/>
          <w:szCs w:val="22"/>
        </w:rPr>
        <w:t xml:space="preserve">, students may contact the IB directly regarding transcripts.  The appropriate form can be found at </w:t>
      </w:r>
      <w:hyperlink r:id="rId8" w:history="1">
        <w:r w:rsidR="002554B8" w:rsidRPr="001D5C0E">
          <w:rPr>
            <w:rStyle w:val="Hyperlink"/>
          </w:rPr>
          <w:t>https://candidates.ibo.org</w:t>
        </w:r>
      </w:hyperlink>
      <w:r w:rsidR="002554B8">
        <w:t>;</w:t>
      </w:r>
      <w:r w:rsidRPr="00B13308">
        <w:rPr>
          <w:sz w:val="22"/>
          <w:szCs w:val="22"/>
        </w:rPr>
        <w:t xml:space="preserve"> follow the </w:t>
      </w:r>
      <w:r w:rsidR="00707DA9">
        <w:rPr>
          <w:sz w:val="22"/>
          <w:szCs w:val="22"/>
        </w:rPr>
        <w:t>instructions at</w:t>
      </w:r>
      <w:r w:rsidRPr="00B13308">
        <w:rPr>
          <w:sz w:val="22"/>
          <w:szCs w:val="22"/>
        </w:rPr>
        <w:t xml:space="preserve"> “transcripts.”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732"/>
        <w:gridCol w:w="1732"/>
        <w:gridCol w:w="2489"/>
      </w:tblGrid>
      <w:tr w:rsidR="00B13308" w:rsidRPr="00B13308" w:rsidTr="00977C05">
        <w:tc>
          <w:tcPr>
            <w:tcW w:w="4253" w:type="dxa"/>
            <w:vAlign w:val="center"/>
          </w:tcPr>
          <w:p w:rsidR="00B13308" w:rsidRPr="00B13308" w:rsidRDefault="00E74F7D" w:rsidP="00E37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name of </w:t>
            </w:r>
            <w:r w:rsidR="00B13308" w:rsidRPr="00B13308">
              <w:rPr>
                <w:sz w:val="22"/>
                <w:szCs w:val="22"/>
              </w:rPr>
              <w:t>Institute</w:t>
            </w:r>
            <w:r>
              <w:rPr>
                <w:sz w:val="22"/>
                <w:szCs w:val="22"/>
              </w:rPr>
              <w:t xml:space="preserve"> and Country</w:t>
            </w: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  <w:r w:rsidRPr="00B13308">
              <w:rPr>
                <w:sz w:val="22"/>
                <w:szCs w:val="22"/>
              </w:rPr>
              <w:t>Student ID</w:t>
            </w: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  <w:r w:rsidRPr="00B13308">
              <w:rPr>
                <w:sz w:val="22"/>
                <w:szCs w:val="22"/>
              </w:rPr>
              <w:t>Course Reference</w:t>
            </w:r>
          </w:p>
        </w:tc>
        <w:tc>
          <w:tcPr>
            <w:tcW w:w="2489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  <w:r w:rsidRPr="00B13308">
              <w:rPr>
                <w:sz w:val="22"/>
                <w:szCs w:val="22"/>
              </w:rPr>
              <w:t>For the attention of</w:t>
            </w:r>
          </w:p>
        </w:tc>
      </w:tr>
      <w:tr w:rsidR="00B13308" w:rsidRPr="00B13308" w:rsidTr="00977C05">
        <w:trPr>
          <w:trHeight w:val="588"/>
        </w:trPr>
        <w:tc>
          <w:tcPr>
            <w:tcW w:w="4253" w:type="dxa"/>
            <w:vAlign w:val="center"/>
          </w:tcPr>
          <w:p w:rsidR="00B13308" w:rsidRPr="00B13308" w:rsidRDefault="00B13308" w:rsidP="00E37A92">
            <w:pPr>
              <w:numPr>
                <w:ilvl w:val="0"/>
                <w:numId w:val="4"/>
              </w:numPr>
              <w:ind w:left="491" w:hanging="425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</w:tr>
      <w:tr w:rsidR="00B13308" w:rsidRPr="00B13308" w:rsidTr="00977C05">
        <w:trPr>
          <w:trHeight w:val="588"/>
        </w:trPr>
        <w:tc>
          <w:tcPr>
            <w:tcW w:w="4253" w:type="dxa"/>
            <w:vAlign w:val="center"/>
          </w:tcPr>
          <w:p w:rsidR="00B13308" w:rsidRPr="00B13308" w:rsidRDefault="00B13308" w:rsidP="00E37A92">
            <w:pPr>
              <w:numPr>
                <w:ilvl w:val="0"/>
                <w:numId w:val="4"/>
              </w:numPr>
              <w:ind w:left="491" w:hanging="425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</w:tr>
      <w:tr w:rsidR="00B13308" w:rsidRPr="00B13308" w:rsidTr="00977C05">
        <w:trPr>
          <w:trHeight w:val="588"/>
        </w:trPr>
        <w:tc>
          <w:tcPr>
            <w:tcW w:w="4253" w:type="dxa"/>
            <w:vAlign w:val="center"/>
          </w:tcPr>
          <w:p w:rsidR="00B13308" w:rsidRPr="00B13308" w:rsidRDefault="00B13308" w:rsidP="00E37A92">
            <w:pPr>
              <w:numPr>
                <w:ilvl w:val="0"/>
                <w:numId w:val="4"/>
              </w:numPr>
              <w:ind w:left="491" w:hanging="425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</w:tr>
      <w:tr w:rsidR="00B13308" w:rsidRPr="00B13308" w:rsidTr="00977C05">
        <w:trPr>
          <w:trHeight w:val="588"/>
        </w:trPr>
        <w:tc>
          <w:tcPr>
            <w:tcW w:w="4253" w:type="dxa"/>
            <w:vAlign w:val="center"/>
          </w:tcPr>
          <w:p w:rsidR="00B13308" w:rsidRPr="00B13308" w:rsidRDefault="00B13308" w:rsidP="00E37A92">
            <w:pPr>
              <w:numPr>
                <w:ilvl w:val="0"/>
                <w:numId w:val="4"/>
              </w:numPr>
              <w:ind w:left="491" w:hanging="425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</w:tr>
      <w:tr w:rsidR="00B13308" w:rsidRPr="00B13308" w:rsidTr="00977C05">
        <w:trPr>
          <w:trHeight w:val="588"/>
        </w:trPr>
        <w:tc>
          <w:tcPr>
            <w:tcW w:w="4253" w:type="dxa"/>
            <w:vAlign w:val="center"/>
          </w:tcPr>
          <w:p w:rsidR="00B13308" w:rsidRPr="00B13308" w:rsidRDefault="00B13308" w:rsidP="00E37A92">
            <w:pPr>
              <w:numPr>
                <w:ilvl w:val="0"/>
                <w:numId w:val="4"/>
              </w:numPr>
              <w:ind w:left="491" w:hanging="425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</w:tr>
      <w:tr w:rsidR="00B13308" w:rsidRPr="00B13308" w:rsidTr="00977C05">
        <w:trPr>
          <w:trHeight w:val="588"/>
        </w:trPr>
        <w:tc>
          <w:tcPr>
            <w:tcW w:w="4253" w:type="dxa"/>
            <w:vAlign w:val="center"/>
          </w:tcPr>
          <w:p w:rsidR="00B13308" w:rsidRPr="00B13308" w:rsidRDefault="00B13308" w:rsidP="00E37A92">
            <w:pPr>
              <w:numPr>
                <w:ilvl w:val="0"/>
                <w:numId w:val="4"/>
              </w:numPr>
              <w:ind w:left="491" w:hanging="425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B13308" w:rsidRPr="00B13308" w:rsidRDefault="00B13308" w:rsidP="00E37A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3308" w:rsidRPr="00CA5E19" w:rsidRDefault="00B13308" w:rsidP="00B13308">
      <w:pPr>
        <w:ind w:left="360"/>
        <w:rPr>
          <w:sz w:val="16"/>
          <w:szCs w:val="16"/>
        </w:rPr>
      </w:pPr>
    </w:p>
    <w:p w:rsidR="00C60974" w:rsidRPr="00C60974" w:rsidRDefault="00C60974" w:rsidP="00B13308">
      <w:pPr>
        <w:ind w:left="360"/>
        <w:rPr>
          <w:i/>
          <w:sz w:val="22"/>
          <w:szCs w:val="22"/>
        </w:rPr>
      </w:pPr>
      <w:r w:rsidRPr="00C60974">
        <w:rPr>
          <w:i/>
          <w:sz w:val="22"/>
          <w:szCs w:val="22"/>
        </w:rPr>
        <w:t>Our signatures below confirm our request for the “transcripts of results” indicated above: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912"/>
      </w:tblGrid>
      <w:tr w:rsidR="00C60974" w:rsidTr="00C9274C">
        <w:trPr>
          <w:trHeight w:val="387"/>
        </w:trPr>
        <w:tc>
          <w:tcPr>
            <w:tcW w:w="3150" w:type="dxa"/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signature and date: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</w:p>
        </w:tc>
      </w:tr>
      <w:tr w:rsidR="00C60974" w:rsidTr="00C9274C">
        <w:trPr>
          <w:trHeight w:val="387"/>
        </w:trPr>
        <w:tc>
          <w:tcPr>
            <w:tcW w:w="3150" w:type="dxa"/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signature and date: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</w:p>
        </w:tc>
      </w:tr>
    </w:tbl>
    <w:p w:rsidR="00B13308" w:rsidRPr="00B13308" w:rsidRDefault="00B13308" w:rsidP="00B13308">
      <w:pPr>
        <w:pStyle w:val="ListParagraph"/>
        <w:numPr>
          <w:ilvl w:val="0"/>
          <w:numId w:val="5"/>
        </w:numPr>
        <w:spacing w:after="120"/>
        <w:contextualSpacing w:val="0"/>
        <w:rPr>
          <w:b/>
          <w:vanish/>
          <w:sz w:val="22"/>
          <w:szCs w:val="22"/>
        </w:rPr>
      </w:pPr>
    </w:p>
    <w:sectPr w:rsidR="00B13308" w:rsidRPr="00B13308" w:rsidSect="00BC0C72">
      <w:headerReference w:type="default" r:id="rId9"/>
      <w:footerReference w:type="default" r:id="rId10"/>
      <w:pgSz w:w="11906" w:h="16838"/>
      <w:pgMar w:top="1417" w:right="707" w:bottom="1134" w:left="993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92" w:rsidRDefault="00161192" w:rsidP="004660E3">
      <w:r>
        <w:separator/>
      </w:r>
    </w:p>
  </w:endnote>
  <w:endnote w:type="continuationSeparator" w:id="0">
    <w:p w:rsidR="00161192" w:rsidRDefault="00161192" w:rsidP="0046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E3" w:rsidRPr="00BC0C72" w:rsidRDefault="004660E3" w:rsidP="004660E3">
    <w:pPr>
      <w:autoSpaceDE w:val="0"/>
      <w:autoSpaceDN w:val="0"/>
      <w:adjustRightInd w:val="0"/>
      <w:jc w:val="center"/>
      <w:rPr>
        <w:rFonts w:ascii="MinionPro-Bold" w:hAnsi="MinionPro-Bold" w:cs="MinionPro-Bold"/>
        <w:b/>
        <w:bCs/>
        <w:color w:val="4F81BD" w:themeColor="accent1"/>
        <w:lang w:val="it-IT"/>
      </w:rPr>
    </w:pP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>The International School in Genoa</w:t>
    </w:r>
  </w:p>
  <w:p w:rsidR="004660E3" w:rsidRPr="00FA3153" w:rsidRDefault="004660E3" w:rsidP="004660E3">
    <w:pPr>
      <w:autoSpaceDE w:val="0"/>
      <w:autoSpaceDN w:val="0"/>
      <w:adjustRightInd w:val="0"/>
      <w:jc w:val="center"/>
      <w:rPr>
        <w:rFonts w:ascii="MinionPro-Regular" w:hAnsi="MinionPro-Regular" w:cs="MinionPro-Regular"/>
        <w:color w:val="4F81BD" w:themeColor="accent1"/>
      </w:rPr>
    </w:pPr>
    <w:r w:rsidRPr="00BC0C72">
      <w:rPr>
        <w:rFonts w:ascii="MinionPro-Regular" w:hAnsi="MinionPro-Regular" w:cs="MinionPro-Regular"/>
        <w:color w:val="4F81BD" w:themeColor="accent1"/>
        <w:lang w:val="it-IT"/>
      </w:rPr>
      <w:t xml:space="preserve">Via Romana della Castagna 11a | 16148 Genova | Italy | </w:t>
    </w: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tel. </w:t>
    </w:r>
    <w:r w:rsidRPr="00FA3153">
      <w:rPr>
        <w:rFonts w:ascii="MinionPro-Regular" w:hAnsi="MinionPro-Regular" w:cs="MinionPro-Regular"/>
        <w:color w:val="4F81BD" w:themeColor="accent1"/>
      </w:rPr>
      <w:t xml:space="preserve">+39.010.386.528 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fax. </w:t>
    </w:r>
    <w:r w:rsidRPr="00FA3153">
      <w:rPr>
        <w:rFonts w:ascii="MinionPro-Regular" w:hAnsi="MinionPro-Regular" w:cs="MinionPro-Regular"/>
        <w:color w:val="4F81BD" w:themeColor="accent1"/>
      </w:rPr>
      <w:t>+39.010.398.700</w:t>
    </w:r>
  </w:p>
  <w:p w:rsidR="004660E3" w:rsidRPr="00FA3153" w:rsidRDefault="004660E3" w:rsidP="004660E3">
    <w:pPr>
      <w:autoSpaceDE w:val="0"/>
      <w:autoSpaceDN w:val="0"/>
      <w:adjustRightInd w:val="0"/>
      <w:jc w:val="center"/>
      <w:rPr>
        <w:rFonts w:ascii="MinionPro-Regular" w:hAnsi="MinionPro-Regular" w:cs="MinionPro-Regular"/>
        <w:color w:val="4F81BD" w:themeColor="accent1"/>
      </w:rPr>
    </w:pPr>
    <w:r w:rsidRPr="00FA3153">
      <w:rPr>
        <w:rFonts w:ascii="MinionPro-Bold" w:hAnsi="MinionPro-Bold" w:cs="MinionPro-Bold"/>
        <w:b/>
        <w:bCs/>
        <w:color w:val="4F81BD" w:themeColor="accent1"/>
      </w:rPr>
      <w:t xml:space="preserve">www.isgenoa.it </w:t>
    </w:r>
    <w:r w:rsidRPr="00FA3153">
      <w:rPr>
        <w:rFonts w:ascii="MinionPro-Regular" w:hAnsi="MinionPro-Regular" w:cs="MinionPro-Regular"/>
        <w:color w:val="4F81BD" w:themeColor="accent1"/>
      </w:rPr>
      <w:t xml:space="preserve">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admission office </w:t>
    </w:r>
    <w:r w:rsidRPr="00FA3153">
      <w:rPr>
        <w:rFonts w:ascii="MinionPro-Regular" w:hAnsi="MinionPro-Regular" w:cs="MinionPro-Regular"/>
        <w:color w:val="4F81BD" w:themeColor="accent1"/>
      </w:rPr>
      <w:t xml:space="preserve">info@isgenoa.it 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accounting dept </w:t>
    </w:r>
    <w:r w:rsidRPr="00FA3153">
      <w:rPr>
        <w:rFonts w:ascii="MinionPro-Regular" w:hAnsi="MinionPro-Regular" w:cs="MinionPro-Regular"/>
        <w:color w:val="4F81BD" w:themeColor="accent1"/>
      </w:rPr>
      <w:t xml:space="preserve">business@isgenoa.it 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secretary </w:t>
    </w:r>
    <w:r w:rsidRPr="00FA3153">
      <w:rPr>
        <w:rFonts w:ascii="MinionPro-Regular" w:hAnsi="MinionPro-Regular" w:cs="MinionPro-Regular"/>
        <w:color w:val="4F81BD" w:themeColor="accent1"/>
      </w:rPr>
      <w:t>secretary@isgenoa.it</w:t>
    </w:r>
  </w:p>
  <w:p w:rsidR="004660E3" w:rsidRPr="00BC0C72" w:rsidRDefault="004660E3" w:rsidP="004660E3">
    <w:pPr>
      <w:autoSpaceDE w:val="0"/>
      <w:autoSpaceDN w:val="0"/>
      <w:adjustRightInd w:val="0"/>
      <w:jc w:val="center"/>
      <w:rPr>
        <w:rFonts w:ascii="MinionPro-Regular" w:hAnsi="MinionPro-Regular" w:cs="MinionPro-Regular"/>
        <w:color w:val="4F81BD" w:themeColor="accent1"/>
        <w:lang w:val="it-IT"/>
      </w:rPr>
    </w:pP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codice fiscale </w:t>
    </w:r>
    <w:r w:rsidRPr="00BC0C72">
      <w:rPr>
        <w:rFonts w:ascii="MinionPro-Regular" w:hAnsi="MinionPro-Regular" w:cs="MinionPro-Regular"/>
        <w:color w:val="4F81BD" w:themeColor="accent1"/>
        <w:lang w:val="it-IT"/>
      </w:rPr>
      <w:t xml:space="preserve">80032730105 | </w:t>
    </w: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partita iva </w:t>
    </w:r>
    <w:r w:rsidRPr="00BC0C72">
      <w:rPr>
        <w:rFonts w:ascii="MinionPro-Regular" w:hAnsi="MinionPro-Regular" w:cs="MinionPro-Regular"/>
        <w:color w:val="4F81BD" w:themeColor="accent1"/>
        <w:lang w:val="it-IT"/>
      </w:rPr>
      <w:t xml:space="preserve">03766040103 | </w:t>
    </w: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iscrizione numero ordine </w:t>
    </w:r>
    <w:r w:rsidRPr="00BC0C72">
      <w:rPr>
        <w:rFonts w:ascii="MinionPro-Regular" w:hAnsi="MinionPro-Regular" w:cs="MinionPro-Regular"/>
        <w:color w:val="4F81BD" w:themeColor="accent1"/>
        <w:lang w:val="it-IT"/>
      </w:rPr>
      <w:t>566 Regione Liguria</w:t>
    </w:r>
  </w:p>
  <w:p w:rsidR="004660E3" w:rsidRPr="00BC0C72" w:rsidRDefault="004660E3" w:rsidP="004660E3">
    <w:pPr>
      <w:jc w:val="center"/>
      <w:rPr>
        <w:color w:val="4F81BD" w:themeColor="accent1"/>
        <w:lang w:val="it-IT"/>
      </w:rPr>
    </w:pPr>
    <w:r w:rsidRPr="00BC0C72">
      <w:rPr>
        <w:rFonts w:ascii="ArialMT" w:hAnsi="ArialMT" w:cs="ArialMT"/>
        <w:color w:val="4F81BD" w:themeColor="accent1"/>
        <w:sz w:val="15"/>
        <w:szCs w:val="15"/>
        <w:lang w:val="it-IT"/>
      </w:rPr>
      <w:t>Associazione riconosciuta Decreto Dir N.2577/2007 Regione Liguria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92" w:rsidRDefault="00161192" w:rsidP="004660E3">
      <w:r>
        <w:separator/>
      </w:r>
    </w:p>
  </w:footnote>
  <w:footnote w:type="continuationSeparator" w:id="0">
    <w:p w:rsidR="00161192" w:rsidRDefault="00161192" w:rsidP="0046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E3" w:rsidRDefault="004660E3" w:rsidP="004660E3">
    <w:pPr>
      <w:pStyle w:val="Header"/>
      <w:jc w:val="center"/>
    </w:pPr>
    <w:r>
      <w:rPr>
        <w:noProof/>
        <w:lang w:val="it-IT" w:eastAsia="it-IT"/>
      </w:rPr>
      <w:drawing>
        <wp:inline distT="0" distB="0" distL="0" distR="0">
          <wp:extent cx="3330054" cy="918336"/>
          <wp:effectExtent l="0" t="0" r="381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537" cy="920951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614"/>
    <w:multiLevelType w:val="hybridMultilevel"/>
    <w:tmpl w:val="36BC2D48"/>
    <w:lvl w:ilvl="0" w:tplc="997CA37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C0353"/>
    <w:multiLevelType w:val="hybridMultilevel"/>
    <w:tmpl w:val="13365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6013"/>
    <w:multiLevelType w:val="hybridMultilevel"/>
    <w:tmpl w:val="2C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1FF7"/>
    <w:multiLevelType w:val="hybridMultilevel"/>
    <w:tmpl w:val="D22A0AB4"/>
    <w:lvl w:ilvl="0" w:tplc="04090001">
      <w:start w:val="1"/>
      <w:numFmt w:val="bullet"/>
      <w:lvlText w:val=""/>
      <w:lvlJc w:val="left"/>
      <w:pPr>
        <w:tabs>
          <w:tab w:val="num" w:pos="-1572"/>
        </w:tabs>
        <w:ind w:left="-15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8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1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</w:abstractNum>
  <w:abstractNum w:abstractNumId="4">
    <w:nsid w:val="3BEB682E"/>
    <w:multiLevelType w:val="hybridMultilevel"/>
    <w:tmpl w:val="A3DE2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71B3"/>
    <w:multiLevelType w:val="hybridMultilevel"/>
    <w:tmpl w:val="7F22A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08"/>
    <w:rsid w:val="00052906"/>
    <w:rsid w:val="00083255"/>
    <w:rsid w:val="00161192"/>
    <w:rsid w:val="00225E6F"/>
    <w:rsid w:val="0023543E"/>
    <w:rsid w:val="00236373"/>
    <w:rsid w:val="002554B8"/>
    <w:rsid w:val="00416D5D"/>
    <w:rsid w:val="004660E3"/>
    <w:rsid w:val="004B13EC"/>
    <w:rsid w:val="00572AD0"/>
    <w:rsid w:val="005763B2"/>
    <w:rsid w:val="005919E9"/>
    <w:rsid w:val="005F2B5A"/>
    <w:rsid w:val="00630E53"/>
    <w:rsid w:val="00652A63"/>
    <w:rsid w:val="006940C9"/>
    <w:rsid w:val="006C719F"/>
    <w:rsid w:val="00707DA9"/>
    <w:rsid w:val="00730A1E"/>
    <w:rsid w:val="007B35AC"/>
    <w:rsid w:val="007C67E1"/>
    <w:rsid w:val="0089508A"/>
    <w:rsid w:val="008D14B2"/>
    <w:rsid w:val="00944779"/>
    <w:rsid w:val="00977C05"/>
    <w:rsid w:val="009C4BCB"/>
    <w:rsid w:val="00AD218F"/>
    <w:rsid w:val="00B12F77"/>
    <w:rsid w:val="00B13308"/>
    <w:rsid w:val="00B32093"/>
    <w:rsid w:val="00BC0C72"/>
    <w:rsid w:val="00BC5AFF"/>
    <w:rsid w:val="00C158A1"/>
    <w:rsid w:val="00C415CC"/>
    <w:rsid w:val="00C60974"/>
    <w:rsid w:val="00C9274C"/>
    <w:rsid w:val="00CA5E19"/>
    <w:rsid w:val="00CB428D"/>
    <w:rsid w:val="00CF2CB7"/>
    <w:rsid w:val="00DA4BBE"/>
    <w:rsid w:val="00DD6E4F"/>
    <w:rsid w:val="00E0322B"/>
    <w:rsid w:val="00E5668C"/>
    <w:rsid w:val="00E74F7D"/>
    <w:rsid w:val="00E762F7"/>
    <w:rsid w:val="00EB55CB"/>
    <w:rsid w:val="00EC4B4F"/>
    <w:rsid w:val="00F07699"/>
    <w:rsid w:val="00F46C65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33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E3"/>
  </w:style>
  <w:style w:type="paragraph" w:styleId="Footer">
    <w:name w:val="footer"/>
    <w:basedOn w:val="Normal"/>
    <w:link w:val="Foot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E3"/>
  </w:style>
  <w:style w:type="paragraph" w:styleId="BalloonText">
    <w:name w:val="Balloon Text"/>
    <w:basedOn w:val="Normal"/>
    <w:link w:val="BalloonTextChar"/>
    <w:uiPriority w:val="99"/>
    <w:semiHidden/>
    <w:unhideWhenUsed/>
    <w:rsid w:val="0046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A3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2F7"/>
    <w:pPr>
      <w:ind w:left="720"/>
      <w:contextualSpacing/>
    </w:pPr>
  </w:style>
  <w:style w:type="paragraph" w:styleId="BodyText">
    <w:name w:val="Body Text"/>
    <w:basedOn w:val="Normal"/>
    <w:link w:val="BodyTextChar"/>
    <w:rsid w:val="00416D5D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416D5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41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3308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33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E3"/>
  </w:style>
  <w:style w:type="paragraph" w:styleId="Footer">
    <w:name w:val="footer"/>
    <w:basedOn w:val="Normal"/>
    <w:link w:val="Foot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E3"/>
  </w:style>
  <w:style w:type="paragraph" w:styleId="BalloonText">
    <w:name w:val="Balloon Text"/>
    <w:basedOn w:val="Normal"/>
    <w:link w:val="BalloonTextChar"/>
    <w:uiPriority w:val="99"/>
    <w:semiHidden/>
    <w:unhideWhenUsed/>
    <w:rsid w:val="0046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A3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2F7"/>
    <w:pPr>
      <w:ind w:left="720"/>
      <w:contextualSpacing/>
    </w:pPr>
  </w:style>
  <w:style w:type="paragraph" w:styleId="BodyText">
    <w:name w:val="Body Text"/>
    <w:basedOn w:val="Normal"/>
    <w:link w:val="BodyTextChar"/>
    <w:rsid w:val="00416D5D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416D5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41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3308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didates.ib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rosser_boiardi\Dropbox\Forms\Timeless\AISG%20General\Templates%20-%20Data%20-%20Public%20Relations\ISG%20Letterhead%20New%20Logo%20-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ISG Letterhead New Logo - NEW TEMPLATE</Template>
  <TotalTime>47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Rosser_Boiardi (Teacher Coordinator)</dc:creator>
  <cp:lastModifiedBy>Elizabeth Rosser_Boiardi (Teacher Coordinator)</cp:lastModifiedBy>
  <cp:revision>13</cp:revision>
  <dcterms:created xsi:type="dcterms:W3CDTF">2013-05-28T17:30:00Z</dcterms:created>
  <dcterms:modified xsi:type="dcterms:W3CDTF">2015-02-20T10:53:00Z</dcterms:modified>
</cp:coreProperties>
</file>